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/>
          <w:b/>
          <w:bCs/>
          <w:sz w:val="44"/>
          <w:szCs w:val="44"/>
        </w:rPr>
      </w:pPr>
      <w:bookmarkStart w:id="40" w:name="_GoBack"/>
      <w:bookmarkEnd w:id="40"/>
      <w:r>
        <w:rPr>
          <w:rFonts w:hint="eastAsia" w:ascii="新宋体" w:hAnsi="新宋体" w:eastAsia="新宋体"/>
          <w:b/>
          <w:bCs/>
          <w:sz w:val="44"/>
          <w:szCs w:val="44"/>
          <w:lang w:val="en-US" w:eastAsia="zh-CN"/>
        </w:rPr>
        <w:t>厦门银华机械</w:t>
      </w:r>
      <w:r>
        <w:rPr>
          <w:rFonts w:hint="eastAsia" w:ascii="新宋体" w:hAnsi="新宋体" w:eastAsia="新宋体"/>
          <w:b/>
          <w:bCs/>
          <w:sz w:val="44"/>
          <w:szCs w:val="44"/>
        </w:rPr>
        <w:t>有限公司</w:t>
      </w:r>
    </w:p>
    <w:p>
      <w:pPr>
        <w:jc w:val="center"/>
        <w:rPr>
          <w:rFonts w:ascii="宋体" w:hAnsi="宋体"/>
          <w:color w:val="000000"/>
          <w:sz w:val="36"/>
          <w:szCs w:val="36"/>
        </w:rPr>
      </w:pPr>
    </w:p>
    <w:p>
      <w:pPr>
        <w:jc w:val="center"/>
        <w:rPr>
          <w:rFonts w:hint="default" w:ascii="宋体" w:hAnsi="宋体" w:eastAsia="仿宋_GB2312"/>
          <w:b/>
          <w:bCs/>
          <w:color w:val="000000"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48"/>
          <w:szCs w:val="48"/>
          <w:lang w:val="en-US" w:eastAsia="zh-CN"/>
        </w:rPr>
        <w:t>水份烘干室三元体改造</w:t>
      </w:r>
    </w:p>
    <w:p>
      <w:pPr>
        <w:ind w:firstLine="4134" w:firstLineChars="286"/>
        <w:rPr>
          <w:rFonts w:hint="eastAsia" w:ascii="方正姚体" w:hAnsi="宋体" w:eastAsia="方正姚体"/>
          <w:b/>
          <w:color w:val="000000"/>
          <w:sz w:val="144"/>
          <w:szCs w:val="144"/>
        </w:rPr>
      </w:pPr>
      <w:r>
        <w:rPr>
          <w:rFonts w:hint="eastAsia" w:ascii="方正姚体" w:hAnsi="宋体" w:eastAsia="方正姚体"/>
          <w:b/>
          <w:color w:val="000000"/>
          <w:sz w:val="144"/>
          <w:szCs w:val="144"/>
        </w:rPr>
        <w:t>技</w:t>
      </w:r>
    </w:p>
    <w:p>
      <w:pPr>
        <w:ind w:firstLine="4134" w:firstLineChars="286"/>
        <w:rPr>
          <w:rFonts w:hint="eastAsia" w:ascii="方正姚体" w:hAnsi="宋体" w:eastAsia="方正姚体"/>
          <w:b/>
          <w:color w:val="000000"/>
          <w:sz w:val="144"/>
          <w:szCs w:val="144"/>
        </w:rPr>
      </w:pPr>
      <w:r>
        <w:rPr>
          <w:rFonts w:hint="eastAsia" w:ascii="方正姚体" w:hAnsi="宋体" w:eastAsia="方正姚体"/>
          <w:b/>
          <w:color w:val="000000"/>
          <w:sz w:val="144"/>
          <w:szCs w:val="144"/>
        </w:rPr>
        <w:t>术</w:t>
      </w:r>
    </w:p>
    <w:p>
      <w:pPr>
        <w:ind w:firstLine="4337" w:firstLineChars="300"/>
        <w:rPr>
          <w:rFonts w:hint="eastAsia" w:ascii="方正姚体" w:hAnsi="宋体" w:eastAsia="方正姚体"/>
          <w:b/>
          <w:color w:val="000000"/>
          <w:sz w:val="144"/>
          <w:szCs w:val="144"/>
          <w:lang w:val="en-US" w:eastAsia="zh-CN"/>
        </w:rPr>
      </w:pPr>
      <w:r>
        <w:rPr>
          <w:rFonts w:hint="eastAsia" w:ascii="方正姚体" w:hAnsi="宋体" w:eastAsia="方正姚体"/>
          <w:b/>
          <w:color w:val="000000"/>
          <w:sz w:val="144"/>
          <w:szCs w:val="144"/>
          <w:lang w:val="en-US" w:eastAsia="zh-CN"/>
        </w:rPr>
        <w:t>协</w:t>
      </w:r>
    </w:p>
    <w:p>
      <w:pPr>
        <w:ind w:firstLine="4337" w:firstLineChars="300"/>
        <w:rPr>
          <w:rFonts w:hint="eastAsia" w:ascii="方正姚体" w:hAnsi="宋体" w:eastAsia="方正姚体"/>
          <w:b/>
          <w:color w:val="000000"/>
          <w:sz w:val="144"/>
          <w:szCs w:val="144"/>
          <w:lang w:eastAsia="zh-CN"/>
        </w:rPr>
      </w:pPr>
      <w:r>
        <w:rPr>
          <w:rFonts w:hint="eastAsia" w:ascii="方正姚体" w:hAnsi="宋体" w:eastAsia="方正姚体"/>
          <w:b/>
          <w:color w:val="000000"/>
          <w:sz w:val="144"/>
          <w:szCs w:val="144"/>
          <w:lang w:val="en-US" w:eastAsia="zh-CN"/>
        </w:rPr>
        <w:t>议</w:t>
      </w:r>
    </w:p>
    <w:p>
      <w:pPr>
        <w:rPr>
          <w:rFonts w:hint="eastAsia" w:ascii="黑体" w:hAnsi="宋体" w:eastAsia="黑体"/>
          <w:b/>
          <w:sz w:val="36"/>
        </w:rPr>
      </w:pPr>
    </w:p>
    <w:p>
      <w:pPr>
        <w:rPr>
          <w:rFonts w:hint="eastAsia" w:ascii="黑体" w:hAnsi="宋体" w:eastAsia="黑体"/>
          <w:b/>
          <w:sz w:val="36"/>
        </w:rPr>
      </w:pPr>
    </w:p>
    <w:p>
      <w:pPr>
        <w:ind w:firstLine="1084" w:firstLineChars="300"/>
        <w:rPr>
          <w:rFonts w:hint="eastAsia"/>
          <w:b/>
          <w:color w:val="000000"/>
          <w:sz w:val="36"/>
          <w:szCs w:val="36"/>
        </w:rPr>
      </w:pPr>
      <w:r>
        <w:rPr>
          <w:rFonts w:hint="eastAsia" w:ascii="黑体" w:hAnsi="宋体" w:eastAsia="黑体"/>
          <w:b/>
          <w:sz w:val="36"/>
        </w:rPr>
        <w:t>编制时间：</w:t>
      </w:r>
      <w:r>
        <w:rPr>
          <w:rFonts w:hint="eastAsia"/>
          <w:b/>
          <w:color w:val="000000"/>
          <w:sz w:val="36"/>
          <w:szCs w:val="36"/>
        </w:rPr>
        <w:t>2021年0</w:t>
      </w:r>
      <w:r>
        <w:rPr>
          <w:rFonts w:hint="eastAsia"/>
          <w:b/>
          <w:color w:val="000000"/>
          <w:sz w:val="36"/>
          <w:szCs w:val="36"/>
          <w:lang w:val="en-US" w:eastAsia="zh-CN"/>
        </w:rPr>
        <w:t>6</w:t>
      </w:r>
      <w:r>
        <w:rPr>
          <w:rFonts w:hint="eastAsia"/>
          <w:b/>
          <w:color w:val="000000"/>
          <w:sz w:val="36"/>
          <w:szCs w:val="36"/>
        </w:rPr>
        <w:t>月</w:t>
      </w:r>
    </w:p>
    <w:p>
      <w:pPr>
        <w:pStyle w:val="2"/>
        <w:rPr>
          <w:rFonts w:hint="eastAsia"/>
          <w:b/>
          <w:color w:val="000000"/>
          <w:sz w:val="36"/>
          <w:szCs w:val="36"/>
        </w:rPr>
      </w:pPr>
    </w:p>
    <w:p>
      <w:pPr>
        <w:pStyle w:val="2"/>
        <w:rPr>
          <w:rFonts w:hint="eastAsia"/>
          <w:b/>
          <w:color w:val="000000"/>
          <w:sz w:val="36"/>
          <w:szCs w:val="36"/>
        </w:rPr>
      </w:pPr>
    </w:p>
    <w:p>
      <w:pPr>
        <w:pStyle w:val="4"/>
        <w:ind w:left="120"/>
        <w:jc w:val="center"/>
        <w:rPr>
          <w:rFonts w:hint="eastAsia"/>
          <w:lang w:val="en-US" w:eastAsia="zh-CN"/>
        </w:rPr>
      </w:pPr>
      <w:bookmarkStart w:id="0" w:name="_Toc7245"/>
      <w:bookmarkStart w:id="1" w:name="_Toc11737"/>
      <w:r>
        <w:rPr>
          <w:rFonts w:hint="eastAsia"/>
          <w:lang w:val="en-US" w:eastAsia="zh-CN"/>
        </w:rPr>
        <w:t>水份烘干室三元体改造技术协议</w:t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甲方：</w:t>
      </w:r>
    </w:p>
    <w:p>
      <w:pPr>
        <w:pStyle w:val="2"/>
        <w:ind w:left="0" w:leftChars="0" w:firstLine="0" w:firstLineChars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乙方;</w:t>
      </w:r>
    </w:p>
    <w:bookmarkEnd w:id="0"/>
    <w:bookmarkEnd w:id="1"/>
    <w:p>
      <w:pPr>
        <w:rPr>
          <w:rFonts w:hint="default" w:eastAsia="仿宋_GB2312"/>
          <w:lang w:val="en-US" w:eastAsia="zh-CN"/>
        </w:rPr>
      </w:pPr>
      <w:r>
        <w:rPr>
          <w:rFonts w:hint="eastAsia"/>
        </w:rPr>
        <w:t xml:space="preserve">     </w:t>
      </w:r>
      <w:r>
        <w:rPr>
          <w:rFonts w:hint="eastAsia"/>
          <w:lang w:val="en-US" w:eastAsia="zh-CN"/>
        </w:rPr>
        <w:t>本着平等合作、双方共赢、友好协商的原则，甲、乙双方对于甲方的水份烘干室三元体改造达成以下协议：</w:t>
      </w:r>
    </w:p>
    <w:p>
      <w:pPr>
        <w:pStyle w:val="5"/>
        <w:ind w:left="120"/>
        <w:rPr>
          <w:rFonts w:hint="default" w:eastAsia="仿宋_GB2312"/>
          <w:lang w:val="en-US" w:eastAsia="zh-CN"/>
        </w:rPr>
      </w:pPr>
      <w:bookmarkStart w:id="2" w:name="_Toc243209662"/>
      <w:bookmarkStart w:id="3" w:name="_Toc27669"/>
      <w:bookmarkStart w:id="4" w:name="_Toc2986"/>
      <w:bookmarkStart w:id="5" w:name="_Toc788"/>
      <w:bookmarkStart w:id="6" w:name="_Toc999"/>
      <w:bookmarkStart w:id="7" w:name="_Toc108015363"/>
      <w:bookmarkStart w:id="8" w:name="_Toc32304"/>
      <w:bookmarkStart w:id="9" w:name="_Toc25491"/>
      <w:bookmarkStart w:id="10" w:name="_Toc7014"/>
      <w:bookmarkStart w:id="11" w:name="_Toc17902"/>
      <w:bookmarkStart w:id="12" w:name="_Toc31375"/>
      <w:bookmarkStart w:id="13" w:name="_Toc1430"/>
      <w:bookmarkStart w:id="14" w:name="_Toc8576"/>
      <w:bookmarkStart w:id="15" w:name="_Toc108308316"/>
      <w:bookmarkStart w:id="16" w:name="_Toc303"/>
      <w:r>
        <w:rPr>
          <w:rFonts w:hint="eastAsia"/>
          <w:lang w:val="en-US" w:eastAsia="zh-CN"/>
        </w:rPr>
        <w:t>1</w:t>
      </w:r>
      <w:r>
        <w:rPr>
          <w:rFonts w:hint="eastAsia"/>
          <w:lang w:val="en-US"/>
        </w:rPr>
        <w:t>、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hint="eastAsia"/>
          <w:lang w:val="en-US" w:eastAsia="zh-CN"/>
        </w:rPr>
        <w:t>三元体的性能参数</w:t>
      </w:r>
    </w:p>
    <w:tbl>
      <w:tblPr>
        <w:tblStyle w:val="9"/>
        <w:tblW w:w="8836" w:type="dxa"/>
        <w:tblInd w:w="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022"/>
        <w:gridCol w:w="2496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</w:pPr>
            <w:bookmarkStart w:id="17" w:name="_Toc30517"/>
            <w:bookmarkStart w:id="18" w:name="_Toc19912"/>
            <w:r>
              <w:rPr>
                <w:rFonts w:hint="eastAsia"/>
              </w:rPr>
              <w:t>序号</w:t>
            </w:r>
          </w:p>
        </w:tc>
        <w:tc>
          <w:tcPr>
            <w:tcW w:w="3022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设备名称及型号</w:t>
            </w:r>
          </w:p>
        </w:tc>
        <w:tc>
          <w:tcPr>
            <w:tcW w:w="249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设计性能</w:t>
            </w:r>
          </w:p>
        </w:tc>
        <w:tc>
          <w:tcPr>
            <w:tcW w:w="25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0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三元体的外形尺寸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4000*2300*2230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0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送排风形式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下吸下送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9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0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烘干温度°C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60--80可调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0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烘干时间min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9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0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风机型号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GW6C(T=150°）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0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风量m³/h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18356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0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风压Pa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1032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0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风机转速r/min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0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电机功率Kw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0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数量（台））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30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燃烧机型号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HRF200Q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9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30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天然气耗量m³/h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9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30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电机功率Kw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lang w:val="en-US" w:eastAsia="zh-CN" w:bidi="ar-SA"/>
              </w:rPr>
              <w:t>0.37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9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30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数量（台））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9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302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79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/>
        </w:tc>
        <w:tc>
          <w:tcPr>
            <w:tcW w:w="3022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</w:tcPr>
          <w:p/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/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/>
        </w:tc>
      </w:tr>
      <w:bookmarkEnd w:id="17"/>
      <w:bookmarkEnd w:id="18"/>
    </w:tbl>
    <w:p>
      <w:pPr>
        <w:pStyle w:val="5"/>
        <w:numPr>
          <w:ilvl w:val="0"/>
          <w:numId w:val="0"/>
        </w:numPr>
        <w:rPr>
          <w:rFonts w:hint="eastAsia"/>
          <w:lang w:val="en-US"/>
        </w:rPr>
      </w:pPr>
      <w:bookmarkStart w:id="19" w:name="_Toc19840"/>
      <w:bookmarkStart w:id="20" w:name="_Toc26571"/>
      <w:bookmarkStart w:id="21" w:name="_Toc31225"/>
      <w:bookmarkStart w:id="22" w:name="_Toc3049"/>
      <w:bookmarkStart w:id="23" w:name="_Toc10191"/>
      <w:bookmarkStart w:id="24" w:name="_Toc29150"/>
      <w:bookmarkStart w:id="25" w:name="_Toc8571"/>
      <w:bookmarkStart w:id="26" w:name="_Toc29636"/>
      <w:bookmarkStart w:id="27" w:name="_Toc3816"/>
      <w:bookmarkStart w:id="28" w:name="_Toc5092"/>
      <w:bookmarkStart w:id="29" w:name="_Toc1911"/>
      <w:bookmarkStart w:id="30" w:name="_Toc25024"/>
      <w:r>
        <w:rPr>
          <w:rFonts w:hint="eastAsia"/>
          <w:lang w:val="en-US" w:eastAsia="zh-CN"/>
        </w:rPr>
        <w:t>2、</w:t>
      </w:r>
      <w:r>
        <w:rPr>
          <w:rFonts w:hint="eastAsia"/>
        </w:rPr>
        <w:t>设备构成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hint="eastAsia"/>
          <w:lang w:val="en-US"/>
        </w:rPr>
        <w:t xml:space="preserve">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三元体由室体、风机、燃烧器、过滤系统组成。</w:t>
      </w:r>
    </w:p>
    <w:p>
      <w:pPr>
        <w:pStyle w:val="6"/>
        <w:ind w:left="120" w:firstLine="482"/>
        <w:rPr>
          <w:rFonts w:hint="eastAsia" w:ascii="仿宋_GB2312" w:hAnsi="仿宋_GB2312" w:cs="仿宋_GB2312"/>
          <w:lang w:val="en-US" w:eastAsia="zh-CN"/>
        </w:rPr>
      </w:pPr>
      <w:bookmarkStart w:id="31" w:name="_Toc18292"/>
      <w:bookmarkStart w:id="32" w:name="_Toc6256"/>
      <w:bookmarkStart w:id="33" w:name="_Toc31296"/>
      <w:bookmarkStart w:id="34" w:name="_Toc268497091"/>
      <w:bookmarkStart w:id="35" w:name="_Toc4424"/>
      <w:bookmarkStart w:id="36" w:name="_Toc243209709"/>
      <w:bookmarkStart w:id="37" w:name="_Toc526319990"/>
      <w:bookmarkStart w:id="38" w:name="_Toc92"/>
      <w:bookmarkStart w:id="39" w:name="_Toc21722"/>
      <w:r>
        <w:rPr>
          <w:rFonts w:hint="eastAsia" w:ascii="仿宋_GB2312" w:hAnsi="仿宋_GB2312" w:cs="仿宋_GB2312"/>
          <w:lang w:val="en-US" w:eastAsia="zh-CN"/>
        </w:rPr>
        <w:t>2</w:t>
      </w:r>
      <w:r>
        <w:rPr>
          <w:rFonts w:hint="eastAsia" w:ascii="仿宋_GB2312" w:hAnsi="仿宋_GB2312" w:cs="仿宋_GB2312"/>
          <w:lang w:val="en-US"/>
        </w:rPr>
        <w:t>.</w:t>
      </w:r>
      <w:r>
        <w:rPr>
          <w:rFonts w:hint="eastAsia" w:ascii="仿宋_GB2312" w:hAnsi="仿宋_GB2312" w:cs="仿宋_GB2312"/>
        </w:rPr>
        <w:t>1、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rFonts w:hint="eastAsia" w:ascii="仿宋_GB2312" w:hAnsi="仿宋_GB2312" w:cs="仿宋_GB2312"/>
          <w:lang w:val="en-US" w:eastAsia="zh-CN"/>
        </w:rPr>
        <w:t>室体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室体由骨架、内壁板、岩棉、外壁板组成。</w:t>
      </w:r>
    </w:p>
    <w:p>
      <w:pPr>
        <w:pStyle w:val="2"/>
        <w:ind w:left="0" w:leftChars="0" w:firstLine="0" w:firstLineChars="0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室体骨架选用100*100方管制作（利旧），内壁板选用优质不锈钢（SUS304）折弯满焊形式，做到完全密封，中间填放溶重120的岩棉，外壁板选用0.6镀锌瓦楞板铆接，四角包角铆接。</w:t>
      </w:r>
    </w:p>
    <w:p>
      <w:pPr>
        <w:pStyle w:val="2"/>
        <w:ind w:left="0" w:leftChars="0" w:firstLine="0" w:firstLineChars="0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2.2送风装置</w:t>
      </w:r>
    </w:p>
    <w:p>
      <w:pPr>
        <w:pStyle w:val="2"/>
        <w:ind w:left="0" w:leftChars="0" w:firstLine="0" w:firstLineChars="0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风机选用大风量插入式耐高温风机，保证送风均匀。</w:t>
      </w:r>
    </w:p>
    <w:p>
      <w:pPr>
        <w:pStyle w:val="2"/>
        <w:ind w:left="0" w:leftChars="0" w:firstLine="0" w:firstLineChars="0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2.3加热单元</w:t>
      </w:r>
    </w:p>
    <w:p>
      <w:pPr>
        <w:pStyle w:val="2"/>
        <w:ind w:left="0" w:leftChars="0" w:firstLine="0" w:firstLineChars="0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加热装置选用枪式燃烧机与加热筒组成，直接加热。</w:t>
      </w:r>
    </w:p>
    <w:p>
      <w:pPr>
        <w:pStyle w:val="2"/>
        <w:ind w:left="0" w:leftChars="0" w:firstLine="0" w:firstLineChars="0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2.4过滤系统</w:t>
      </w:r>
    </w:p>
    <w:p>
      <w:pPr>
        <w:pStyle w:val="2"/>
        <w:ind w:left="0" w:leftChars="0" w:firstLine="0" w:firstLineChars="0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过滤系统选用耐高温板框过滤棉与骨架组成，方便跟换。</w:t>
      </w:r>
    </w:p>
    <w:p>
      <w:pPr>
        <w:pStyle w:val="2"/>
        <w:ind w:left="0" w:leftChars="0" w:firstLine="0" w:firstLineChars="0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</w:t>
      </w:r>
    </w:p>
    <w:p>
      <w:pPr>
        <w:pStyle w:val="2"/>
        <w:ind w:left="0" w:leftChars="0" w:firstLine="0" w:firstLineChars="0"/>
        <w:rPr>
          <w:rFonts w:hint="eastAsia" w:ascii="仿宋_GB2312" w:hAnsi="仿宋_GB2312" w:cs="仿宋_GB2312"/>
          <w:lang w:val="en-US" w:eastAsia="zh-CN"/>
        </w:rPr>
      </w:pPr>
    </w:p>
    <w:p>
      <w:pPr>
        <w:pStyle w:val="2"/>
        <w:ind w:left="0" w:leftChars="0" w:firstLine="480" w:firstLineChars="0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本协议一式两份，甲、乙双方各执一份。</w:t>
      </w:r>
    </w:p>
    <w:p>
      <w:pPr>
        <w:pStyle w:val="2"/>
        <w:ind w:left="0" w:leftChars="0" w:firstLine="480" w:firstLineChars="0"/>
        <w:rPr>
          <w:rFonts w:hint="default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未尽事宜，双方协商解决。</w:t>
      </w:r>
    </w:p>
    <w:p>
      <w:pPr>
        <w:pStyle w:val="2"/>
        <w:ind w:left="480" w:firstLine="480"/>
      </w:pPr>
    </w:p>
    <w:p>
      <w:pPr>
        <w:pStyle w:val="2"/>
        <w:ind w:left="480" w:firstLine="480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甲方：                                      乙方：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日期：                                      日期：</w:t>
      </w:r>
    </w:p>
    <w:p>
      <w:pPr>
        <w:pStyle w:val="2"/>
        <w:ind w:left="0" w:leftChars="0" w:firstLine="0" w:firstLineChars="0"/>
        <w:rPr>
          <w:rFonts w:hint="eastAsia"/>
          <w:b/>
          <w:color w:val="00000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47173"/>
    <w:rsid w:val="11047173"/>
    <w:rsid w:val="642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widowControl/>
      <w:overflowPunct w:val="0"/>
      <w:autoSpaceDE w:val="0"/>
      <w:autoSpaceDN w:val="0"/>
      <w:adjustRightInd w:val="0"/>
      <w:spacing w:before="240" w:after="60"/>
      <w:ind w:left="105" w:leftChars="50"/>
      <w:jc w:val="left"/>
      <w:textAlignment w:val="baseline"/>
      <w:outlineLvl w:val="0"/>
    </w:pPr>
    <w:rPr>
      <w:rFonts w:ascii="Arial" w:hAnsi="Arial"/>
      <w:b/>
      <w:color w:val="000000" w:themeColor="text1"/>
      <w:kern w:val="28"/>
      <w:sz w:val="32"/>
      <w14:textFill>
        <w14:solidFill>
          <w14:schemeClr w14:val="tx1"/>
        </w14:solidFill>
      </w14:textFill>
    </w:rPr>
  </w:style>
  <w:style w:type="paragraph" w:styleId="5">
    <w:name w:val="heading 2"/>
    <w:basedOn w:val="1"/>
    <w:next w:val="1"/>
    <w:semiHidden/>
    <w:unhideWhenUsed/>
    <w:qFormat/>
    <w:uiPriority w:val="9"/>
    <w:pPr>
      <w:keepNext/>
      <w:widowControl/>
      <w:overflowPunct w:val="0"/>
      <w:autoSpaceDE w:val="0"/>
      <w:autoSpaceDN w:val="0"/>
      <w:adjustRightInd w:val="0"/>
      <w:spacing w:before="20" w:after="20" w:line="240" w:lineRule="auto"/>
      <w:ind w:left="105" w:leftChars="50"/>
      <w:jc w:val="left"/>
      <w:textAlignment w:val="baseline"/>
      <w:outlineLvl w:val="1"/>
    </w:pPr>
    <w:rPr>
      <w:rFonts w:ascii="Arial" w:hAnsi="Arial" w:cs="宋体"/>
      <w:b/>
      <w:color w:val="000000" w:themeColor="text1"/>
      <w:spacing w:val="28"/>
      <w:kern w:val="0"/>
      <w:sz w:val="28"/>
      <w:lang w:val="en-GB"/>
      <w14:textFill>
        <w14:solidFill>
          <w14:schemeClr w14:val="tx1"/>
        </w14:solidFill>
      </w14:textFill>
    </w:rPr>
  </w:style>
  <w:style w:type="paragraph" w:styleId="6">
    <w:name w:val="heading 4"/>
    <w:basedOn w:val="1"/>
    <w:next w:val="1"/>
    <w:semiHidden/>
    <w:unhideWhenUsed/>
    <w:qFormat/>
    <w:uiPriority w:val="9"/>
    <w:pPr>
      <w:keepNext/>
      <w:widowControl/>
      <w:overflowPunct w:val="0"/>
      <w:autoSpaceDE w:val="0"/>
      <w:autoSpaceDN w:val="0"/>
      <w:adjustRightInd w:val="0"/>
      <w:spacing w:before="120" w:after="120" w:line="480" w:lineRule="auto"/>
      <w:ind w:left="105" w:leftChars="50" w:firstLine="420" w:firstLineChars="200"/>
      <w:jc w:val="left"/>
      <w:textAlignment w:val="baseline"/>
      <w:outlineLvl w:val="3"/>
    </w:pPr>
    <w:rPr>
      <w:rFonts w:cs="宋体"/>
      <w:b/>
      <w:color w:val="000000" w:themeColor="text1"/>
      <w:kern w:val="0"/>
      <w:lang w:val="en-GB"/>
      <w14:textFill>
        <w14:solidFill>
          <w14:schemeClr w14:val="tx1"/>
        </w14:solidFill>
      </w14:textFill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spacing w:after="120"/>
      <w:ind w:left="200" w:leftChars="200" w:firstLine="200" w:firstLineChars="200"/>
    </w:pPr>
    <w:rPr>
      <w:sz w:val="24"/>
    </w:rPr>
  </w:style>
  <w:style w:type="paragraph" w:styleId="3">
    <w:name w:val="Body Text Indent"/>
    <w:basedOn w:val="1"/>
    <w:semiHidden/>
    <w:unhideWhenUsed/>
    <w:qFormat/>
    <w:uiPriority w:val="99"/>
    <w:pPr>
      <w:ind w:firstLine="359" w:firstLineChars="171"/>
    </w:pPr>
    <w:rPr>
      <w:rFonts w:eastAsia="宋体"/>
      <w:sz w:val="21"/>
    </w:rPr>
  </w:style>
  <w:style w:type="paragraph" w:styleId="7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2021-06-17T06:31:00Z</dcterms:created>
  <dc:creator>yeps11</dc:creator>
  <cp:lastModifiedBy>zhengjm11</cp:lastModifiedBy>
  <dcterms:modified xsi:type="dcterms:W3CDTF">2021-07-10T05:44:49Z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